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media/image2.emf" ContentType="application/x-msmetafile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82" w:rsidRDefault="00977982">
      <w:pPr>
        <w:widowControl w:val="0"/>
        <w:tabs>
          <w:tab w:val="left" w:pos="5103"/>
        </w:tabs>
        <w:rPr>
          <w:sz w:val="16"/>
        </w:rPr>
      </w:pPr>
    </w:p>
    <w:tbl>
      <w:tblPr>
        <w:tblStyle w:val="Tabellrutnt"/>
        <w:tblW w:w="0" w:type="auto"/>
        <w:tblBorders>
          <w:top w:val="nil"/>
          <w:left w:val="nil"/>
          <w:bottom w:val="nil"/>
          <w:right w:val="nil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80"/>
        <w:gridCol w:w="4272"/>
      </w:tblGrid>
      <w:tr w:rsidR="00977982">
        <w:tc>
          <w:tcPr>
            <w:tcW w:w="5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977982" w:rsidRDefault="00977982">
            <w:pPr>
              <w:widowControl w:val="0"/>
              <w:tabs>
                <w:tab w:val="left" w:pos="5103"/>
              </w:tabs>
              <w:rPr>
                <w:color w:val="F00000"/>
                <w:sz w:val="16"/>
              </w:rPr>
            </w:pPr>
          </w:p>
        </w:tc>
        <w:tc>
          <w:tcPr>
            <w:tcW w:w="4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:rsidR="00977982" w:rsidRDefault="00F93420">
            <w:pPr>
              <w:widowControl w:val="0"/>
              <w:tabs>
                <w:tab w:val="left" w:pos="510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Skinnersdals</w:t>
            </w:r>
            <w:proofErr w:type="spellEnd"/>
            <w:r>
              <w:rPr>
                <w:sz w:val="24"/>
              </w:rPr>
              <w:t xml:space="preserve"> Samfällighetsförening</w:t>
            </w:r>
          </w:p>
          <w:p w:rsidR="00977982" w:rsidRDefault="00977982">
            <w:pPr>
              <w:widowControl w:val="0"/>
              <w:tabs>
                <w:tab w:val="left" w:pos="5103"/>
              </w:tabs>
              <w:rPr>
                <w:sz w:val="24"/>
              </w:rPr>
            </w:pPr>
          </w:p>
          <w:p w:rsidR="00977982" w:rsidRDefault="00F93420">
            <w:pPr>
              <w:widowControl w:val="0"/>
              <w:tabs>
                <w:tab w:val="left" w:pos="510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Skinnersdal</w:t>
            </w:r>
            <w:proofErr w:type="spellEnd"/>
            <w:r w:rsidR="008412B5">
              <w:rPr>
                <w:sz w:val="24"/>
              </w:rPr>
              <w:t xml:space="preserve"> 59</w:t>
            </w:r>
          </w:p>
          <w:p w:rsidR="00977982" w:rsidRDefault="008412B5">
            <w:pPr>
              <w:pStyle w:val="Sidfot"/>
              <w:widowControl w:val="0"/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>555 92  JÖNKÖPING</w:t>
            </w:r>
          </w:p>
          <w:p w:rsidR="00977982" w:rsidRDefault="00977982">
            <w:pPr>
              <w:widowControl w:val="0"/>
              <w:tabs>
                <w:tab w:val="left" w:pos="5103"/>
              </w:tabs>
              <w:rPr>
                <w:sz w:val="24"/>
              </w:rPr>
            </w:pPr>
          </w:p>
        </w:tc>
      </w:tr>
    </w:tbl>
    <w:p w:rsidR="00977982" w:rsidRDefault="00977982">
      <w:pPr>
        <w:widowControl w:val="0"/>
        <w:tabs>
          <w:tab w:val="left" w:pos="5103"/>
        </w:tabs>
        <w:ind w:left="1262"/>
      </w:pPr>
    </w:p>
    <w:p w:rsidR="00977982" w:rsidRDefault="00977982">
      <w:pPr>
        <w:widowControl w:val="0"/>
        <w:tabs>
          <w:tab w:val="left" w:pos="5103"/>
        </w:tabs>
        <w:ind w:left="1262"/>
      </w:pPr>
    </w:p>
    <w:p w:rsidR="00977982" w:rsidRDefault="008412B5">
      <w:pPr>
        <w:ind w:left="1701"/>
        <w:rPr>
          <w:b/>
          <w:color w:val="FF0000"/>
          <w:sz w:val="26"/>
        </w:rPr>
      </w:pPr>
      <w:r>
        <w:rPr>
          <w:b/>
          <w:sz w:val="26"/>
        </w:rPr>
        <w:t xml:space="preserve">Beslut om fastställande av provtagningspunkter och frekvens för normal respektive utvidgad undersökning för dricksvattenanläggning inom fastigheten SKINNERSDAL 1:2 i Jönköpings kommun </w:t>
      </w:r>
      <w:proofErr w:type="spellStart"/>
      <w:r>
        <w:rPr>
          <w:sz w:val="16"/>
        </w:rPr>
        <w:t>Objid</w:t>
      </w:r>
      <w:proofErr w:type="spellEnd"/>
      <w:r>
        <w:rPr>
          <w:sz w:val="16"/>
        </w:rPr>
        <w:t xml:space="preserve">: </w:t>
      </w:r>
      <w:r>
        <w:rPr>
          <w:sz w:val="16"/>
          <w:lang w:bidi="sv-SE"/>
        </w:rPr>
        <w:t>33573</w:t>
      </w:r>
    </w:p>
    <w:p w:rsidR="00977982" w:rsidRDefault="00977982">
      <w:pPr>
        <w:ind w:left="1701"/>
        <w:rPr>
          <w:b/>
        </w:rPr>
      </w:pPr>
    </w:p>
    <w:p w:rsidR="00977982" w:rsidRDefault="008412B5">
      <w:pPr>
        <w:ind w:left="425" w:firstLine="1276"/>
        <w:rPr>
          <w:b/>
        </w:rPr>
      </w:pPr>
      <w:r>
        <w:rPr>
          <w:b/>
        </w:rPr>
        <w:t>Beslut</w:t>
      </w:r>
    </w:p>
    <w:p w:rsidR="00977982" w:rsidRDefault="008412B5">
      <w:pPr>
        <w:pStyle w:val="Strecklista"/>
        <w:spacing w:after="120"/>
        <w:ind w:left="1701" w:right="-57"/>
      </w:pPr>
      <w:r>
        <w:t xml:space="preserve">Miljö- och </w:t>
      </w:r>
      <w:proofErr w:type="spellStart"/>
      <w:r>
        <w:t>hälsoskyddsnämden</w:t>
      </w:r>
      <w:proofErr w:type="spellEnd"/>
      <w:r>
        <w:t xml:space="preserve"> beslutar att:</w:t>
      </w:r>
    </w:p>
    <w:p w:rsidR="00977982" w:rsidRDefault="008412B5">
      <w:pPr>
        <w:pStyle w:val="Strecklista"/>
        <w:numPr>
          <w:ilvl w:val="0"/>
          <w:numId w:val="1"/>
        </w:numPr>
        <w:spacing w:after="120"/>
        <w:ind w:left="1985" w:right="-57" w:hanging="284"/>
      </w:pPr>
      <w:r>
        <w:t xml:space="preserve">Fastställa provtagningsfrekvens, provtagningspunkter samt provtagningsparametrar </w:t>
      </w:r>
      <w:r>
        <w:t>enligt inkomna handlingar 2013-10-07</w:t>
      </w:r>
      <w:r>
        <w:rPr>
          <w:lang w:bidi="sv-SE"/>
        </w:rPr>
        <w:t xml:space="preserve">, </w:t>
      </w:r>
      <w:r>
        <w:t xml:space="preserve">2013-10-29 </w:t>
      </w:r>
      <w:r>
        <w:rPr>
          <w:lang w:bidi="sv-SE"/>
        </w:rPr>
        <w:t xml:space="preserve">och 2015-05-21 </w:t>
      </w:r>
      <w:r>
        <w:t>samt enligt samtal vid kontroll 2013-11-12</w:t>
      </w:r>
      <w:r>
        <w:rPr>
          <w:lang w:bidi="sv-SE"/>
        </w:rPr>
        <w:t xml:space="preserve"> och 2015-04-30 </w:t>
      </w:r>
      <w:r>
        <w:t xml:space="preserve">. </w:t>
      </w:r>
    </w:p>
    <w:p w:rsidR="00977982" w:rsidRDefault="008412B5">
      <w:pPr>
        <w:spacing w:before="120"/>
        <w:ind w:left="1968" w:firstLine="14"/>
      </w:pPr>
      <w:r>
        <w:t>Beslutet ersätter</w:t>
      </w:r>
      <w:r>
        <w:rPr>
          <w:lang w:bidi="sv-SE"/>
        </w:rPr>
        <w:t xml:space="preserve"> </w:t>
      </w:r>
      <w:r>
        <w:t xml:space="preserve">tidigare beslut om </w:t>
      </w:r>
      <w:r>
        <w:rPr>
          <w:lang w:bidi="sv-SE"/>
        </w:rPr>
        <w:t>fastställande</w:t>
      </w:r>
      <w:r>
        <w:rPr>
          <w:lang w:bidi="sv-SE"/>
        </w:rPr>
        <w:t xml:space="preserve"> av provtagningspunkter och frekvens</w:t>
      </w:r>
      <w:r>
        <w:t xml:space="preserve"> meddelat 20</w:t>
      </w:r>
      <w:r>
        <w:rPr>
          <w:lang w:bidi="sv-SE"/>
        </w:rPr>
        <w:t>13</w:t>
      </w:r>
      <w:r>
        <w:t>-</w:t>
      </w:r>
      <w:r>
        <w:rPr>
          <w:lang w:bidi="sv-SE"/>
        </w:rPr>
        <w:t>11</w:t>
      </w:r>
      <w:r>
        <w:t>-</w:t>
      </w:r>
      <w:r>
        <w:rPr>
          <w:lang w:bidi="sv-SE"/>
        </w:rPr>
        <w:t>20</w:t>
      </w:r>
      <w:r>
        <w:t>.</w:t>
      </w:r>
    </w:p>
    <w:p w:rsidR="00977982" w:rsidRDefault="00977982">
      <w:pPr>
        <w:spacing w:after="120"/>
        <w:ind w:left="1985" w:right="-57" w:hanging="284"/>
      </w:pPr>
    </w:p>
    <w:p w:rsidR="00977982" w:rsidRDefault="008412B5">
      <w:pPr>
        <w:pStyle w:val="Strecklista"/>
        <w:ind w:left="1985" w:right="-57"/>
      </w:pPr>
      <w:r>
        <w:t xml:space="preserve">För </w:t>
      </w:r>
      <w:r>
        <w:rPr>
          <w:b/>
        </w:rPr>
        <w:t>dricksvatten hos användaren</w:t>
      </w:r>
      <w:r>
        <w:t xml:space="preserve"> innebär detta </w:t>
      </w:r>
      <w:r>
        <w:br/>
        <w:t>(8 § b, c, d Livsmedelsverkets föreskrifter SLVFS 2001:30 om dricksvatten):</w:t>
      </w:r>
    </w:p>
    <w:p w:rsidR="00977982" w:rsidRDefault="008412B5">
      <w:pPr>
        <w:pStyle w:val="Strecklista"/>
        <w:numPr>
          <w:ilvl w:val="0"/>
          <w:numId w:val="4"/>
        </w:numPr>
        <w:ind w:left="2342" w:right="-57" w:hanging="357"/>
      </w:pPr>
      <w:r>
        <w:t xml:space="preserve">Normal undersökning med provtagning gällande mikrobiologiska- och kemiska </w:t>
      </w:r>
      <w:r>
        <w:t xml:space="preserve">parametrar 4 gånger per år. </w:t>
      </w:r>
    </w:p>
    <w:p w:rsidR="00977982" w:rsidRDefault="008412B5">
      <w:pPr>
        <w:pStyle w:val="Strecklista"/>
        <w:numPr>
          <w:ilvl w:val="0"/>
          <w:numId w:val="4"/>
        </w:numPr>
        <w:ind w:left="2342" w:right="-57" w:hanging="357"/>
      </w:pPr>
      <w:r>
        <w:t xml:space="preserve">Utvidgad undersökning med provtagning vartannat år. </w:t>
      </w:r>
    </w:p>
    <w:p w:rsidR="00977982" w:rsidRDefault="008412B5">
      <w:pPr>
        <w:pStyle w:val="Strecklista"/>
        <w:numPr>
          <w:ilvl w:val="0"/>
          <w:numId w:val="4"/>
        </w:numPr>
        <w:ind w:left="2342" w:right="-57" w:hanging="357"/>
      </w:pPr>
      <w:r>
        <w:t>Provtagningspunkt för dricksvatten hos användaren kommer vara dricksvattenkran i köket ”</w:t>
      </w:r>
      <w:proofErr w:type="spellStart"/>
      <w:r>
        <w:t>Skinnersdal</w:t>
      </w:r>
      <w:proofErr w:type="spellEnd"/>
      <w:r>
        <w:t xml:space="preserve"> 1</w:t>
      </w:r>
      <w:r>
        <w:rPr>
          <w:lang w:bidi="sv-SE"/>
        </w:rPr>
        <w:t>4</w:t>
      </w:r>
      <w:r>
        <w:t>” och ”</w:t>
      </w:r>
      <w:proofErr w:type="spellStart"/>
      <w:r>
        <w:t>Skinnersdal</w:t>
      </w:r>
      <w:proofErr w:type="spellEnd"/>
      <w:r>
        <w:t xml:space="preserve"> 62”. </w:t>
      </w:r>
    </w:p>
    <w:p w:rsidR="00977982" w:rsidRDefault="00977982">
      <w:pPr>
        <w:pStyle w:val="Strecklista"/>
        <w:spacing w:after="120"/>
        <w:ind w:right="-57"/>
      </w:pPr>
    </w:p>
    <w:p w:rsidR="00977982" w:rsidRDefault="008412B5">
      <w:pPr>
        <w:pStyle w:val="Strecklista"/>
        <w:spacing w:after="120"/>
        <w:ind w:left="1985" w:right="-57"/>
      </w:pPr>
      <w:r>
        <w:t>Enligt uppgift kommer Livsmedelsverkets föresk</w:t>
      </w:r>
      <w:r>
        <w:t xml:space="preserve">rifter om dricksvatten SLVFS 2001:30 att följas och provtagningsparametrar följer vad som framgår av Bilaga 3, Avsnitt A för normal undersökning och Avsnitt B för utvidgad undersökning. </w:t>
      </w:r>
    </w:p>
    <w:p w:rsidR="00977982" w:rsidRDefault="008412B5">
      <w:pPr>
        <w:pStyle w:val="Strecklista"/>
        <w:spacing w:after="120"/>
        <w:ind w:left="993" w:right="-57" w:firstLine="992"/>
      </w:pPr>
      <w:r>
        <w:t>Provtagning ska i möjligaste mån fördelas lika över tid och rum.</w:t>
      </w:r>
    </w:p>
    <w:p w:rsidR="00977982" w:rsidRDefault="00977982">
      <w:pPr>
        <w:spacing w:after="120"/>
        <w:ind w:left="1985" w:right="-57" w:hanging="284"/>
      </w:pPr>
    </w:p>
    <w:p w:rsidR="00977982" w:rsidRDefault="00977982">
      <w:pPr>
        <w:spacing w:after="120"/>
        <w:ind w:right="-57"/>
      </w:pPr>
    </w:p>
    <w:p w:rsidR="00977982" w:rsidRDefault="00977982">
      <w:pPr>
        <w:pStyle w:val="Strecklista"/>
        <w:spacing w:after="120"/>
        <w:ind w:left="1985" w:right="-57"/>
      </w:pPr>
    </w:p>
    <w:p w:rsidR="00977982" w:rsidRDefault="008412B5">
      <w:pPr>
        <w:pStyle w:val="Strecklista"/>
        <w:spacing w:after="120"/>
        <w:ind w:left="1701" w:right="-57"/>
      </w:pPr>
      <w:r>
        <w:lastRenderedPageBreak/>
        <w:t>Beslutet gäller för:</w:t>
      </w:r>
    </w:p>
    <w:p w:rsidR="00977982" w:rsidRDefault="008412B5">
      <w:pPr>
        <w:pStyle w:val="Strecklista"/>
        <w:tabs>
          <w:tab w:val="left" w:pos="284"/>
          <w:tab w:val="left" w:pos="4536"/>
        </w:tabs>
        <w:spacing w:after="60"/>
        <w:ind w:left="1920"/>
      </w:pPr>
      <w:r>
        <w:rPr>
          <w:i/>
        </w:rPr>
        <w:t>Livsmedelsföretagare:</w:t>
      </w:r>
      <w:r>
        <w:rPr>
          <w:i/>
        </w:rPr>
        <w:tab/>
      </w:r>
      <w:proofErr w:type="spellStart"/>
      <w:r w:rsidR="00F93420">
        <w:t>Skinnersdals</w:t>
      </w:r>
      <w:proofErr w:type="spellEnd"/>
      <w:r w:rsidR="00F93420">
        <w:t xml:space="preserve"> Samfällighetsförening</w:t>
      </w:r>
    </w:p>
    <w:p w:rsidR="00977982" w:rsidRDefault="008412B5">
      <w:pPr>
        <w:pStyle w:val="Strecklista"/>
        <w:tabs>
          <w:tab w:val="left" w:pos="284"/>
          <w:tab w:val="left" w:pos="4536"/>
        </w:tabs>
        <w:spacing w:after="60"/>
        <w:ind w:left="1920"/>
      </w:pPr>
      <w:r>
        <w:rPr>
          <w:i/>
        </w:rPr>
        <w:t>Org./pers. nr:</w:t>
      </w:r>
      <w:r>
        <w:rPr>
          <w:i/>
        </w:rPr>
        <w:tab/>
      </w:r>
      <w:proofErr w:type="gramStart"/>
      <w:r>
        <w:t>717909-6685</w:t>
      </w:r>
      <w:proofErr w:type="gramEnd"/>
    </w:p>
    <w:p w:rsidR="00977982" w:rsidRDefault="008412B5" w:rsidP="00F93420">
      <w:pPr>
        <w:pStyle w:val="Strecklista"/>
        <w:tabs>
          <w:tab w:val="left" w:pos="4536"/>
        </w:tabs>
        <w:spacing w:after="60"/>
        <w:ind w:left="4530" w:hanging="2610"/>
      </w:pPr>
      <w:r>
        <w:rPr>
          <w:i/>
        </w:rPr>
        <w:t>Anläggningens namn:</w:t>
      </w:r>
      <w:r>
        <w:rPr>
          <w:i/>
        </w:rPr>
        <w:tab/>
      </w:r>
      <w:proofErr w:type="spellStart"/>
      <w:r w:rsidR="00F93420">
        <w:t>Skinnersdals</w:t>
      </w:r>
      <w:proofErr w:type="spellEnd"/>
      <w:r w:rsidR="00F93420">
        <w:t xml:space="preserve"> samfällighetsförening- dricksvattenanläggning</w:t>
      </w:r>
    </w:p>
    <w:p w:rsidR="00977982" w:rsidRDefault="008412B5">
      <w:pPr>
        <w:pStyle w:val="Strecklista"/>
        <w:tabs>
          <w:tab w:val="left" w:pos="4536"/>
        </w:tabs>
        <w:spacing w:after="60"/>
        <w:ind w:left="1920"/>
      </w:pPr>
      <w:r>
        <w:rPr>
          <w:i/>
        </w:rPr>
        <w:t>Fastighet:</w:t>
      </w:r>
      <w:r>
        <w:rPr>
          <w:i/>
        </w:rPr>
        <w:tab/>
      </w:r>
      <w:proofErr w:type="spellStart"/>
      <w:r w:rsidR="00F93420">
        <w:t>Skinnersdal</w:t>
      </w:r>
      <w:proofErr w:type="spellEnd"/>
      <w:r>
        <w:t xml:space="preserve"> 1:2</w:t>
      </w:r>
    </w:p>
    <w:p w:rsidR="00977982" w:rsidRDefault="008412B5">
      <w:pPr>
        <w:pStyle w:val="Strecklista"/>
        <w:tabs>
          <w:tab w:val="left" w:pos="4536"/>
        </w:tabs>
        <w:spacing w:after="60"/>
        <w:ind w:left="1920"/>
      </w:pPr>
      <w:r>
        <w:rPr>
          <w:i/>
        </w:rPr>
        <w:t>Besöksadress</w:t>
      </w:r>
      <w:r w:rsidR="00F93420">
        <w:t>:</w:t>
      </w:r>
      <w:r w:rsidR="00F93420">
        <w:tab/>
      </w:r>
      <w:proofErr w:type="spellStart"/>
      <w:r w:rsidR="00F93420">
        <w:t>Skinnersdal</w:t>
      </w:r>
      <w:proofErr w:type="spellEnd"/>
      <w:r w:rsidR="00F93420">
        <w:t xml:space="preserve"> 59, Jönköping</w:t>
      </w:r>
    </w:p>
    <w:p w:rsidR="00977982" w:rsidRDefault="008412B5">
      <w:pPr>
        <w:pStyle w:val="Strecklista"/>
        <w:tabs>
          <w:tab w:val="left" w:pos="4536"/>
        </w:tabs>
        <w:spacing w:after="60"/>
        <w:ind w:left="1922"/>
      </w:pPr>
      <w:r>
        <w:rPr>
          <w:i/>
        </w:rPr>
        <w:t>Verksamhet:</w:t>
      </w:r>
      <w:r>
        <w:rPr>
          <w:i/>
        </w:rPr>
        <w:tab/>
      </w:r>
      <w:r>
        <w:t>Vattenverk</w:t>
      </w:r>
    </w:p>
    <w:p w:rsidR="00977982" w:rsidRDefault="008412B5">
      <w:pPr>
        <w:pStyle w:val="Strecklista"/>
        <w:tabs>
          <w:tab w:val="left" w:pos="4536"/>
        </w:tabs>
        <w:spacing w:after="60"/>
        <w:ind w:left="1922"/>
      </w:pPr>
      <w:r>
        <w:t>Beslutet gäller omedelbart även om ärendet överklagas.</w:t>
      </w:r>
    </w:p>
    <w:p w:rsidR="00977982" w:rsidRDefault="008412B5">
      <w:pPr>
        <w:spacing w:after="240"/>
        <w:ind w:left="1701" w:right="-105"/>
      </w:pPr>
      <w:r>
        <w:br/>
      </w:r>
      <w:r>
        <w:rPr>
          <w:b/>
        </w:rPr>
        <w:t>Bakgrund</w:t>
      </w:r>
      <w:r>
        <w:br/>
        <w:t xml:space="preserve">Uppgifterna om livsmedelsanläggningen har miljö- och hälsoskyddskontoret fått från er i samband med </w:t>
      </w:r>
      <w:r>
        <w:rPr>
          <w:lang w:bidi="sv-SE"/>
        </w:rPr>
        <w:t>inspektion samt vid uppföljning via telefon och e-post</w:t>
      </w:r>
      <w:r>
        <w:t xml:space="preserve">. Det underlag som ligger till grund </w:t>
      </w:r>
      <w:r>
        <w:t xml:space="preserve">för detta beslut inkom </w:t>
      </w:r>
      <w:r>
        <w:rPr>
          <w:lang w:bidi="sv-SE"/>
        </w:rPr>
        <w:t>via inkommen anmälan om registrering 2013-01-21, via kompletterande uppgifter i inkommen e-post 2013-10-07, 2013-10-29 och 2015-05-21 samt vid kontroll på plats och via telefon 2013-11-21 och 2015-04-30.</w:t>
      </w:r>
    </w:p>
    <w:p w:rsidR="00977982" w:rsidRDefault="008412B5">
      <w:pPr>
        <w:spacing w:after="240"/>
        <w:ind w:left="1701"/>
      </w:pPr>
      <w:r>
        <w:rPr>
          <w:b/>
        </w:rPr>
        <w:t>Motivering</w:t>
      </w:r>
      <w:r>
        <w:br/>
        <w:t>Enligt 11 § Livsme</w:t>
      </w:r>
      <w:r>
        <w:t>delsverkets föreskrifter (SLVFS 2001:30) om dricksvatten ska tillsynsmyndigheten fastställa provtagningspunkter samt frekvens för normal respektive utvidgad undersökning. Enligt 10 § samma föreskrifter ska ett förslag på provtagningspunkter och frekvens fö</w:t>
      </w:r>
      <w:r>
        <w:t xml:space="preserve">r normal undersökning och utvidgad undersökning enligt bilaga 3 avsnitt A, B och C i dricksvattenföreskrifterna upprättas: </w:t>
      </w:r>
    </w:p>
    <w:p w:rsidR="00977982" w:rsidRDefault="008412B5">
      <w:pPr>
        <w:numPr>
          <w:ilvl w:val="0"/>
          <w:numId w:val="2"/>
        </w:numPr>
        <w:tabs>
          <w:tab w:val="left" w:pos="2421"/>
        </w:tabs>
        <w:spacing w:after="240"/>
      </w:pPr>
      <w:r>
        <w:t>av den som producerar dricksvatten, oavsett om detta sker yrkesmässigt eller inte (</w:t>
      </w:r>
      <w:r>
        <w:rPr>
          <w:rFonts w:ascii="Times New Roman Greek" w:hAnsi="Times New Roman Greek"/>
          <w:i/>
        </w:rPr>
        <w:t>bilaga 3 avsnitt C.Ι</w:t>
      </w:r>
      <w:r>
        <w:t>),</w:t>
      </w:r>
    </w:p>
    <w:p w:rsidR="00977982" w:rsidRDefault="008412B5">
      <w:pPr>
        <w:numPr>
          <w:ilvl w:val="0"/>
          <w:numId w:val="2"/>
        </w:numPr>
        <w:tabs>
          <w:tab w:val="left" w:pos="2421"/>
        </w:tabs>
        <w:spacing w:after="240"/>
      </w:pPr>
      <w:r>
        <w:t>av den som genom sin distr</w:t>
      </w:r>
      <w:r>
        <w:t>ibutionsanläggning eller från tankar tillhandahåller dricksvatten, oavsett om detta sker yrkesmässigt eller inte (</w:t>
      </w:r>
      <w:r>
        <w:rPr>
          <w:rFonts w:ascii="Times New Roman Greek" w:hAnsi="Times New Roman Greek"/>
          <w:i/>
        </w:rPr>
        <w:t>bilaga 3, avsnitt C.ΙΙ</w:t>
      </w:r>
      <w:r>
        <w:t>),</w:t>
      </w:r>
    </w:p>
    <w:p w:rsidR="00977982" w:rsidRDefault="008412B5">
      <w:pPr>
        <w:pStyle w:val="Strecklista"/>
        <w:tabs>
          <w:tab w:val="left" w:pos="1680"/>
        </w:tabs>
        <w:spacing w:after="240"/>
        <w:ind w:left="1680"/>
      </w:pPr>
      <w:r>
        <w:br/>
      </w:r>
      <w:r>
        <w:rPr>
          <w:lang w:bidi="sv-SE"/>
        </w:rPr>
        <w:t xml:space="preserve">Enligt 11 § </w:t>
      </w:r>
      <w:r>
        <w:t>SLVFS 2001:30</w:t>
      </w:r>
      <w:r w:rsidR="00F93420">
        <w:rPr>
          <w:lang w:bidi="sv-SE"/>
        </w:rPr>
        <w:t xml:space="preserve"> f</w:t>
      </w:r>
      <w:r>
        <w:rPr>
          <w:lang w:bidi="sv-SE"/>
        </w:rPr>
        <w:t>år k</w:t>
      </w:r>
      <w:r>
        <w:t>ontrollmyndigheten besluta om inskränkningar av omfattningen av den utvidgade undersö</w:t>
      </w:r>
      <w:r>
        <w:t xml:space="preserve">kningen respektive av frekvensen för den normala undersökningen, jämfört med vad som anges i </w:t>
      </w:r>
      <w:r>
        <w:rPr>
          <w:i/>
        </w:rPr>
        <w:t xml:space="preserve">bilaga 3. </w:t>
      </w:r>
      <w:r>
        <w:t>Förutsättningarna för sådana in</w:t>
      </w:r>
      <w:bookmarkStart w:id="0" w:name="_GoBack"/>
      <w:bookmarkEnd w:id="0"/>
      <w:r>
        <w:t xml:space="preserve">skränkningar anges i </w:t>
      </w:r>
      <w:r>
        <w:rPr>
          <w:i/>
        </w:rPr>
        <w:t xml:space="preserve">avsnitten B </w:t>
      </w:r>
      <w:r>
        <w:t xml:space="preserve">och </w:t>
      </w:r>
      <w:r>
        <w:rPr>
          <w:i/>
        </w:rPr>
        <w:t xml:space="preserve">C </w:t>
      </w:r>
      <w:r>
        <w:t xml:space="preserve">i </w:t>
      </w:r>
      <w:r>
        <w:rPr>
          <w:i/>
        </w:rPr>
        <w:t>bilaga 3.</w:t>
      </w:r>
      <w:r>
        <w:rPr>
          <w:i/>
          <w:sz w:val="28"/>
        </w:rPr>
        <w:t xml:space="preserve"> </w:t>
      </w:r>
    </w:p>
    <w:p w:rsidR="00977982" w:rsidRDefault="008412B5">
      <w:pPr>
        <w:pStyle w:val="Strecklista"/>
        <w:tabs>
          <w:tab w:val="left" w:pos="1680"/>
        </w:tabs>
        <w:spacing w:after="240"/>
        <w:ind w:left="1680"/>
      </w:pPr>
      <w:r>
        <w:lastRenderedPageBreak/>
        <w:t xml:space="preserve">Enligt 12-13 </w:t>
      </w:r>
      <w:proofErr w:type="gramStart"/>
      <w:r>
        <w:t>§§</w:t>
      </w:r>
      <w:proofErr w:type="gramEnd"/>
      <w:r>
        <w:t xml:space="preserve"> </w:t>
      </w:r>
      <w:r w:rsidR="00F93420">
        <w:t xml:space="preserve">SLVFS 2001:30 </w:t>
      </w:r>
      <w:r>
        <w:t>är verksamhetsutövaren skyldig att följa de fastställda provtagningspunkterna och frekvenserna och utföra sådana undersökningar för att kontrollera att dricksvattnet uppfyller kraven i bilaga 2. Undersökningarna ska avse minst de parametrar som an</w:t>
      </w:r>
      <w:r>
        <w:t xml:space="preserve">ges i bilaga 3, avsnitt A (normal undersökning) och bilaga 3, avsnitt B (utvidgad undersökning), om inte kontrollmyndigheten beslutar annat. </w:t>
      </w:r>
    </w:p>
    <w:p w:rsidR="00977982" w:rsidRDefault="008412B5">
      <w:pPr>
        <w:spacing w:after="240"/>
        <w:ind w:left="1680" w:firstLine="21"/>
      </w:pPr>
      <w:r>
        <w:t>Analyser ska enligt 13 § SLVFS 2001:30 utföras på ett laboratorium som enligt 35 § Livsmedelsförordningen (2006:813) ackrediterats för sådana undersökningar. Undantag är undersökningar av aktivt klor, pH, temperatur och smak vid provtagningspunkten utgåend</w:t>
      </w:r>
      <w:r>
        <w:t xml:space="preserve">e dricksvatten och smak vid provtagningspunkten dricksvatten hos användaren.  </w:t>
      </w:r>
    </w:p>
    <w:p w:rsidR="00977982" w:rsidRDefault="008412B5">
      <w:pPr>
        <w:pStyle w:val="Rubrik3"/>
        <w:ind w:left="1701"/>
      </w:pPr>
      <w:r>
        <w:t>Lagstöd</w:t>
      </w:r>
    </w:p>
    <w:p w:rsidR="00977982" w:rsidRDefault="008412B5">
      <w:pPr>
        <w:pStyle w:val="Brdtext"/>
        <w:numPr>
          <w:ilvl w:val="0"/>
          <w:numId w:val="3"/>
        </w:numPr>
      </w:pPr>
      <w:r>
        <w:t>Livsmedelsverkets föreskrifter (SLVFS 2001:30) om dricksvatten</w:t>
      </w:r>
    </w:p>
    <w:p w:rsidR="00977982" w:rsidRDefault="008412B5">
      <w:pPr>
        <w:pStyle w:val="Brdtext"/>
        <w:numPr>
          <w:ilvl w:val="0"/>
          <w:numId w:val="3"/>
        </w:numPr>
      </w:pPr>
      <w:r>
        <w:t>Livsmedelsförordningen (2006:813)</w:t>
      </w:r>
    </w:p>
    <w:p w:rsidR="00977982" w:rsidRDefault="00977982">
      <w:pPr>
        <w:pStyle w:val="NormalUtanLuftEfter"/>
        <w:widowControl w:val="0"/>
        <w:ind w:left="1262" w:right="-57"/>
      </w:pPr>
    </w:p>
    <w:p w:rsidR="00977982" w:rsidRDefault="00977982">
      <w:pPr>
        <w:pStyle w:val="NormalUtanLuftEfter"/>
        <w:widowControl w:val="0"/>
        <w:ind w:left="1262" w:right="-57"/>
      </w:pPr>
    </w:p>
    <w:p w:rsidR="00977982" w:rsidRDefault="008412B5">
      <w:pPr>
        <w:widowControl w:val="0"/>
        <w:ind w:left="1262" w:right="-57"/>
      </w:pPr>
      <w:r>
        <w:t>MILJÖ- OCH HÄLSOSKYDDSNÄMNDEN</w:t>
      </w:r>
    </w:p>
    <w:p w:rsidR="00977982" w:rsidRDefault="00977982">
      <w:pPr>
        <w:widowControl w:val="0"/>
        <w:ind w:left="1262" w:right="-57"/>
      </w:pPr>
    </w:p>
    <w:p w:rsidR="00977982" w:rsidRDefault="00977982">
      <w:pPr>
        <w:widowControl w:val="0"/>
        <w:ind w:left="1262" w:right="-57"/>
      </w:pPr>
    </w:p>
    <w:p w:rsidR="00977982" w:rsidRDefault="00977982">
      <w:pPr>
        <w:widowControl w:val="0"/>
        <w:ind w:left="1262" w:right="-57"/>
      </w:pPr>
    </w:p>
    <w:p w:rsidR="00977982" w:rsidRDefault="008412B5">
      <w:pPr>
        <w:widowControl w:val="0"/>
        <w:ind w:left="1262" w:right="-57"/>
      </w:pPr>
      <w:r>
        <w:t>Anneli Jyrkin</w:t>
      </w:r>
    </w:p>
    <w:p w:rsidR="00977982" w:rsidRDefault="008412B5">
      <w:pPr>
        <w:widowControl w:val="0"/>
        <w:ind w:left="1262" w:right="-57"/>
        <w:rPr>
          <w:i/>
        </w:rPr>
      </w:pPr>
      <w:r>
        <w:rPr>
          <w:i/>
        </w:rPr>
        <w:t>Miljö- och hälsoskyddsi</w:t>
      </w:r>
      <w:r>
        <w:rPr>
          <w:i/>
        </w:rPr>
        <w:t>nspektör</w:t>
      </w:r>
    </w:p>
    <w:p w:rsidR="00977982" w:rsidRDefault="00977982">
      <w:pPr>
        <w:widowControl w:val="0"/>
        <w:ind w:left="1262" w:right="-57"/>
      </w:pPr>
    </w:p>
    <w:p w:rsidR="00977982" w:rsidRDefault="00977982">
      <w:pPr>
        <w:widowControl w:val="0"/>
        <w:ind w:left="1262" w:right="-57"/>
      </w:pPr>
    </w:p>
    <w:p w:rsidR="00977982" w:rsidRDefault="008412B5">
      <w:pPr>
        <w:ind w:left="1262" w:hanging="3"/>
        <w:rPr>
          <w:b/>
          <w:i/>
        </w:rPr>
      </w:pPr>
      <w:r>
        <w:rPr>
          <w:b/>
          <w:i/>
        </w:rPr>
        <w:t>Informationsmaterial:</w:t>
      </w:r>
    </w:p>
    <w:p w:rsidR="00977982" w:rsidRDefault="008412B5">
      <w:pPr>
        <w:tabs>
          <w:tab w:val="left" w:pos="2400"/>
        </w:tabs>
        <w:ind w:left="1267"/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column">
              <wp:posOffset>771525</wp:posOffset>
            </wp:positionH>
            <wp:positionV relativeFrom="paragraph">
              <wp:posOffset>466725</wp:posOffset>
            </wp:positionV>
            <wp:extent cx="4879340" cy="3484880"/>
            <wp:effectExtent l="0" t="0" r="0" b="0"/>
            <wp:wrapNone/>
            <wp:docPr id="1" name="Textruta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879340" cy="348488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wps:spPr>
                  <wps:txbx>
                    <w:txbxContent>
                      <w:p w:rsidR="00977982" w:rsidRDefault="008412B5">
                        <w:pPr>
                          <w:spacing w:after="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Hur man överklagar</w:t>
                        </w:r>
                      </w:p>
                      <w:p w:rsidR="00977982" w:rsidRDefault="008412B5">
                        <w:pPr>
                          <w:spacing w:after="120"/>
                        </w:pPr>
                        <w:r>
                          <w:t xml:space="preserve">Om ni vill överklaga beslutet ska ni skriva till miljö- och hälsoskyddsnämnden. I brevet talar ni om vilket beslut ni överklagar (ange diarienummer). Tala också om vad ni anser vara felaktigt i beslutet och vilken ändring ni vill ha. </w:t>
                        </w:r>
                      </w:p>
                      <w:p w:rsidR="00977982" w:rsidRDefault="008412B5">
                        <w:pPr>
                          <w:spacing w:after="60"/>
                        </w:pPr>
                        <w:r>
                          <w:t xml:space="preserve">Skicka överklagandet </w:t>
                        </w:r>
                        <w:r>
                          <w:t>till:</w:t>
                        </w:r>
                      </w:p>
                      <w:p w:rsidR="00977982" w:rsidRDefault="008412B5">
                        <w:r>
                          <w:t>Jönköpings kommun</w:t>
                        </w:r>
                      </w:p>
                      <w:p w:rsidR="00977982" w:rsidRDefault="008412B5">
                        <w:r>
                          <w:t>Miljö- och hälsoskyddsnämnden</w:t>
                        </w:r>
                      </w:p>
                      <w:p w:rsidR="00977982" w:rsidRDefault="008412B5">
                        <w:pPr>
                          <w:spacing w:after="120"/>
                        </w:pPr>
                        <w:r>
                          <w:t>551 89 JÖNKÖPING</w:t>
                        </w:r>
                      </w:p>
                      <w:p w:rsidR="00977982" w:rsidRDefault="00977982">
                        <w:pPr>
                          <w:spacing w:after="120"/>
                        </w:pPr>
                      </w:p>
                      <w:p w:rsidR="00977982" w:rsidRDefault="008412B5">
                        <w:pPr>
                          <w:spacing w:after="120"/>
                        </w:pPr>
                        <w:r>
                          <w:t>Miljö- och hälsoskyddsnämnden måste ha fått ert överklagande inom tre veckor från den dag ni fick del av beslutet, annars kan överklagandet inte prövas. Miljö- och hälsoskyddsnämnden a</w:t>
                        </w:r>
                        <w:r>
                          <w:t>vgör om överklagandet kommit in i rätt tid och skickar det därefter till länsstyrelsen för prövning, om inte nämnden själv ändrar beslutet på det sätt som ni begärt.</w:t>
                        </w:r>
                      </w:p>
                      <w:p w:rsidR="00977982" w:rsidRDefault="008412B5">
                        <w:r>
                          <w:t xml:space="preserve">Är något oklart kan ni kontakta Anneli Jyrkin, </w:t>
                        </w:r>
                        <w:proofErr w:type="gramStart"/>
                        <w:r>
                          <w:t>tfn:  036</w:t>
                        </w:r>
                        <w:proofErr w:type="gramEnd"/>
                        <w:r>
                          <w:t>-10 50 70</w:t>
                        </w:r>
                      </w:p>
                      <w:p w:rsidR="00977982" w:rsidRDefault="00977982"/>
                    </w:txbxContent>
                  </wps:txbx>
                  <wps:bodyPr>
                    <a:spAutoFit/>
                  </wps:bodyPr>
                </wps:wsp>
              </a:graphicData>
            </a:graphic>
          </wp:anchor>
        </w:drawing>
      </w:r>
    </w:p>
    <w:sectPr w:rsidR="00977982">
      <w:headerReference w:type="default" r:id="rId8"/>
      <w:headerReference w:type="first" r:id="rId9"/>
      <w:footerReference w:type="first" r:id="rId10"/>
      <w:type w:val="continuous"/>
      <w:pgSz w:w="11907" w:h="16840"/>
      <w:pgMar w:top="1934" w:right="1174" w:bottom="3240" w:left="1191" w:header="567" w:footer="7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2B5">
      <w:r>
        <w:separator/>
      </w:r>
    </w:p>
  </w:endnote>
  <w:endnote w:type="continuationSeparator" w:id="0">
    <w:p w:rsidR="00000000" w:rsidRDefault="008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71"/>
      <w:gridCol w:w="2920"/>
      <w:gridCol w:w="57"/>
    </w:tblGrid>
    <w:tr w:rsidR="00977982">
      <w:trPr>
        <w:gridAfter w:val="1"/>
        <w:wAfter w:w="57" w:type="dxa"/>
        <w:trHeight w:hRule="exact" w:val="920"/>
      </w:trPr>
      <w:tc>
        <w:tcPr>
          <w:tcW w:w="737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single" w:sz="2" w:space="0" w:color="000000"/>
          </w:tcBorders>
          <w:tcMar>
            <w:left w:w="70" w:type="dxa"/>
            <w:right w:w="70" w:type="dxa"/>
          </w:tcMar>
        </w:tcPr>
        <w:p w:rsidR="00977982" w:rsidRDefault="008412B5">
          <w:pPr>
            <w:pStyle w:val="Sidfot"/>
            <w:widowControl w:val="0"/>
            <w:tabs>
              <w:tab w:val="center" w:pos="4820"/>
            </w:tabs>
            <w:spacing w:before="120"/>
            <w:ind w:right="170"/>
            <w:jc w:val="right"/>
            <w:rPr>
              <w:sz w:val="14"/>
            </w:rPr>
          </w:pPr>
          <w:r>
            <w:rPr>
              <w:rFonts w:ascii="Arial" w:hAnsi="Arial"/>
              <w:sz w:val="14"/>
            </w:rPr>
            <w:t>MILJÖ- OCH HÄLSOSKYDDSKONTORET</w:t>
          </w:r>
          <w:r>
            <w:rPr>
              <w:rFonts w:ascii="Arial" w:hAnsi="Arial"/>
              <w:sz w:val="14"/>
            </w:rPr>
            <w:br/>
            <w:t>Besöksadress Juneporten</w:t>
          </w:r>
          <w:r>
            <w:rPr>
              <w:rFonts w:ascii="Arial" w:hAnsi="Arial"/>
              <w:sz w:val="14"/>
            </w:rPr>
            <w:br/>
            <w:t>Västra Storgatan 16, Jönköping</w:t>
          </w:r>
          <w:r>
            <w:rPr>
              <w:rFonts w:ascii="Arial" w:hAnsi="Arial"/>
              <w:sz w:val="14"/>
            </w:rPr>
            <w:br/>
            <w:t>miljo@jonkoping.se</w:t>
          </w:r>
          <w:r>
            <w:rPr>
              <w:sz w:val="14"/>
            </w:rPr>
            <w:br/>
          </w:r>
        </w:p>
      </w:tc>
      <w:tc>
        <w:tcPr>
          <w:tcW w:w="292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70" w:type="dxa"/>
            <w:right w:w="70" w:type="dxa"/>
          </w:tcMar>
        </w:tcPr>
        <w:p w:rsidR="00977982" w:rsidRDefault="00F93420">
          <w:pPr>
            <w:pStyle w:val="Sidfot"/>
            <w:widowControl w:val="0"/>
            <w:tabs>
              <w:tab w:val="center" w:pos="4820"/>
              <w:tab w:val="right" w:pos="9923"/>
            </w:tabs>
            <w:spacing w:before="120"/>
            <w:ind w:right="72"/>
            <w:jc w:val="right"/>
          </w:pPr>
          <w:r>
            <w:pict>
              <v:shape id="_x0000_i1025" style="width:132.65pt;height:38.4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</w:tr>
    <w:tr w:rsidR="00977982">
      <w:tc>
        <w:tcPr>
          <w:tcW w:w="7371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70" w:type="dxa"/>
            <w:right w:w="70" w:type="dxa"/>
          </w:tcMar>
        </w:tcPr>
        <w:p w:rsidR="00977982" w:rsidRDefault="008412B5">
          <w:pPr>
            <w:pStyle w:val="Sidfot"/>
            <w:widowControl w:val="0"/>
            <w:ind w:right="170"/>
            <w:jc w:val="right"/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" behindDoc="0" locked="1" layoutInCell="0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147320</wp:posOffset>
                </wp:positionV>
                <wp:extent cx="7214235" cy="411480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4235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70" w:type="dxa"/>
            <w:right w:w="70" w:type="dxa"/>
          </w:tcMar>
        </w:tcPr>
        <w:p w:rsidR="00977982" w:rsidRDefault="008412B5">
          <w:pPr>
            <w:pStyle w:val="Sidfot"/>
            <w:widowControl w:val="0"/>
            <w:tabs>
              <w:tab w:val="center" w:pos="4820"/>
              <w:tab w:val="right" w:pos="9923"/>
            </w:tabs>
            <w:ind w:left="709" w:right="57"/>
            <w:rPr>
              <w:sz w:val="12"/>
            </w:rPr>
          </w:pPr>
          <w:r>
            <w:rPr>
              <w:sz w:val="12"/>
            </w:rPr>
            <w:t> Ljuset vid Vättern</w:t>
          </w:r>
        </w:p>
      </w:tc>
    </w:tr>
  </w:tbl>
  <w:p w:rsidR="00977982" w:rsidRDefault="008412B5">
    <w:pPr>
      <w:pStyle w:val="Sidfot"/>
      <w:widowControl w:val="0"/>
    </w:pPr>
    <w:r>
      <w:rPr>
        <w:rFonts w:ascii="Calibri" w:hAnsi="Calibri"/>
        <w:noProof/>
      </w:rP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330835</wp:posOffset>
          </wp:positionH>
          <wp:positionV relativeFrom="paragraph">
            <wp:posOffset>162560</wp:posOffset>
          </wp:positionV>
          <wp:extent cx="5284470" cy="217170"/>
          <wp:effectExtent l="0" t="0" r="0" b="0"/>
          <wp:wrapNone/>
          <wp:docPr id="4" name="Text Box 1"/>
          <wp:cNvGraphicFramePr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5284470" cy="217170"/>
                  </a:xfrm>
                  <a:prstGeom prst="rect">
                    <a:avLst/>
                  </a:prstGeom>
                </wps:spPr>
                <wps:txbx>
                  <w:txbxContent>
                    <w:p w:rsidR="00977982" w:rsidRDefault="008412B5">
                      <w:pPr>
                        <w:widowControl w:val="0"/>
                        <w:rPr>
                          <w:rFonts w:ascii="Arial" w:hAnsi="Arial"/>
                          <w:color w:val="FFFFFF"/>
                          <w:sz w:val="1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4"/>
                        </w:rPr>
                        <w:t>JÖNKÖPINGS KOMMUN | Tfn 036-10 50 00 (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14"/>
                        </w:rPr>
                        <w:t>vxl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z w:val="14"/>
                        </w:rPr>
                        <w:t xml:space="preserve">) | Postadress (om inget annat anges) 551 89 </w:t>
                      </w:r>
                      <w:r>
                        <w:rPr>
                          <w:rFonts w:ascii="Arial" w:hAnsi="Arial"/>
                          <w:color w:val="FFFFFF"/>
                          <w:sz w:val="14"/>
                        </w:rPr>
                        <w:t>Jönköping | www.jonkoping.se</w:t>
                      </w:r>
                    </w:p>
                  </w:txbxContent>
                </wps:txbx>
                <wps:bodyPr>
                  <a:no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2B5">
      <w:r>
        <w:separator/>
      </w:r>
    </w:p>
  </w:footnote>
  <w:footnote w:type="continuationSeparator" w:id="0">
    <w:p w:rsidR="00000000" w:rsidRDefault="0084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82" w:rsidRDefault="008412B5">
    <w:pPr>
      <w:pStyle w:val="Sidhuvud"/>
      <w:widowControl w:val="0"/>
      <w:tabs>
        <w:tab w:val="left" w:pos="5103"/>
        <w:tab w:val="left" w:pos="9214"/>
      </w:tabs>
      <w:ind w:right="-244"/>
      <w:rPr>
        <w:rFonts w:ascii="Arial" w:hAnsi="Arial"/>
        <w:sz w:val="20"/>
      </w:rPr>
    </w:pPr>
    <w:r>
      <w:rPr>
        <w:rFonts w:ascii="Arial" w:hAnsi="Arial"/>
        <w:sz w:val="18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3</w:t>
    </w:r>
    <w:r>
      <w:rPr>
        <w:rFonts w:ascii="Calibri" w:hAnsi="Calibri"/>
      </w:rPr>
      <w:fldChar w:fldCharType="end"/>
    </w:r>
    <w:r>
      <w:rPr>
        <w:rFonts w:ascii="Arial" w:hAnsi="Arial"/>
        <w:sz w:val="20"/>
      </w:rPr>
      <w:t>(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3</w:t>
    </w:r>
    <w:r>
      <w:rPr>
        <w:rFonts w:ascii="Calibri" w:hAnsi="Calibri"/>
      </w:rPr>
      <w:fldChar w:fldCharType="end"/>
    </w:r>
    <w:r>
      <w:rPr>
        <w:rFonts w:ascii="Arial" w:hAnsi="Arial"/>
        <w:sz w:val="20"/>
      </w:rPr>
      <w:t>)</w:t>
    </w:r>
  </w:p>
  <w:p w:rsidR="00977982" w:rsidRDefault="008412B5">
    <w:pPr>
      <w:pStyle w:val="Sidhuvud"/>
      <w:widowControl w:val="0"/>
      <w:tabs>
        <w:tab w:val="left" w:pos="5103"/>
      </w:tabs>
      <w:rPr>
        <w:rFonts w:ascii="Arial" w:hAnsi="Arial"/>
        <w:sz w:val="20"/>
      </w:rPr>
    </w:pPr>
    <w:r>
      <w:rPr>
        <w:rFonts w:ascii="Arial" w:hAnsi="Arial"/>
        <w:sz w:val="20"/>
      </w:rPr>
      <w:tab/>
      <w:t xml:space="preserve">BESLUT – </w:t>
    </w:r>
    <w:proofErr w:type="spellStart"/>
    <w:r>
      <w:rPr>
        <w:rFonts w:ascii="Arial" w:hAnsi="Arial"/>
        <w:sz w:val="20"/>
      </w:rPr>
      <w:t>Dli</w:t>
    </w:r>
    <w:proofErr w:type="spellEnd"/>
    <w:r>
      <w:rPr>
        <w:rFonts w:ascii="Arial" w:hAnsi="Arial"/>
        <w:sz w:val="20"/>
      </w:rPr>
      <w:t xml:space="preserve"> § </w:t>
    </w:r>
    <w:r>
      <w:rPr>
        <w:rFonts w:ascii="Arial" w:hAnsi="Arial"/>
        <w:sz w:val="20"/>
        <w:lang w:bidi="sv-SE"/>
      </w:rPr>
      <w:t>087</w:t>
    </w:r>
    <w:r>
      <w:rPr>
        <w:rFonts w:ascii="Arial" w:hAnsi="Arial"/>
        <w:sz w:val="20"/>
      </w:rPr>
      <w:tab/>
      <w:t xml:space="preserve">          Dnr</w:t>
    </w:r>
  </w:p>
  <w:p w:rsidR="00977982" w:rsidRDefault="008412B5">
    <w:pPr>
      <w:pStyle w:val="Sidhuvud"/>
      <w:widowControl w:val="0"/>
      <w:tabs>
        <w:tab w:val="left" w:pos="5103"/>
        <w:tab w:val="left" w:pos="8222"/>
      </w:tabs>
    </w:pPr>
    <w:r>
      <w:rPr>
        <w:rFonts w:ascii="Arial" w:hAnsi="Arial"/>
        <w:sz w:val="20"/>
      </w:rPr>
      <w:tab/>
      <w:t>2015-05-21</w:t>
    </w:r>
    <w:r>
      <w:tab/>
    </w:r>
  </w:p>
  <w:p w:rsidR="00977982" w:rsidRDefault="00977982">
    <w:pPr>
      <w:pStyle w:val="Sidhuvud"/>
      <w:tabs>
        <w:tab w:val="left" w:pos="5103"/>
        <w:tab w:val="left" w:pos="8222"/>
      </w:tabs>
      <w:rPr>
        <w:rFonts w:ascii="Arial" w:hAnsi="Arial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82" w:rsidRDefault="008412B5">
    <w:pPr>
      <w:pStyle w:val="Sidhuvud"/>
      <w:widowControl w:val="0"/>
      <w:tabs>
        <w:tab w:val="left" w:pos="5103"/>
        <w:tab w:val="left" w:pos="9214"/>
      </w:tabs>
      <w:ind w:right="-244"/>
      <w:rPr>
        <w:rFonts w:ascii="Arial" w:hAnsi="Arial"/>
        <w:sz w:val="20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>
      <w:rPr>
        <w:rFonts w:ascii="Calibri" w:hAnsi="Calibri"/>
      </w:rPr>
      <w:fldChar w:fldCharType="end"/>
    </w:r>
    <w:r>
      <w:rPr>
        <w:rFonts w:ascii="Arial" w:hAnsi="Arial"/>
        <w:sz w:val="20"/>
      </w:rPr>
      <w:t>(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NUMPAGES 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3</w:t>
    </w:r>
    <w:r>
      <w:rPr>
        <w:rFonts w:ascii="Calibri" w:hAnsi="Calibri"/>
      </w:rPr>
      <w:fldChar w:fldCharType="end"/>
    </w:r>
    <w:r>
      <w:rPr>
        <w:rFonts w:ascii="Arial" w:hAnsi="Arial"/>
        <w:sz w:val="20"/>
      </w:rPr>
      <w:t>)</w:t>
    </w:r>
  </w:p>
  <w:p w:rsidR="00977982" w:rsidRDefault="008412B5">
    <w:pPr>
      <w:pStyle w:val="Sidhuvud"/>
      <w:widowControl w:val="0"/>
      <w:tabs>
        <w:tab w:val="left" w:pos="5103"/>
        <w:tab w:val="left" w:pos="8001"/>
      </w:tabs>
      <w:rPr>
        <w:rFonts w:ascii="Arial" w:hAnsi="Arial"/>
        <w:sz w:val="20"/>
      </w:rPr>
    </w:pPr>
    <w:r>
      <w:rPr>
        <w:rFonts w:ascii="Arial" w:hAnsi="Arial"/>
        <w:sz w:val="20"/>
      </w:rPr>
      <w:t>Livsmedelsenheten</w:t>
    </w:r>
    <w:r>
      <w:rPr>
        <w:rFonts w:ascii="Arial" w:hAnsi="Arial"/>
        <w:sz w:val="20"/>
      </w:rPr>
      <w:tab/>
      <w:t xml:space="preserve">BESLUT – </w:t>
    </w:r>
    <w:proofErr w:type="spellStart"/>
    <w:r>
      <w:rPr>
        <w:rFonts w:ascii="Arial" w:hAnsi="Arial"/>
        <w:sz w:val="20"/>
      </w:rPr>
      <w:t>Dli</w:t>
    </w:r>
    <w:proofErr w:type="spellEnd"/>
    <w:r>
      <w:rPr>
        <w:rFonts w:ascii="Arial" w:hAnsi="Arial"/>
        <w:sz w:val="20"/>
      </w:rPr>
      <w:t xml:space="preserve"> § </w:t>
    </w:r>
    <w:r>
      <w:rPr>
        <w:rFonts w:ascii="Arial" w:hAnsi="Arial"/>
        <w:sz w:val="20"/>
        <w:lang w:bidi="sv-SE"/>
      </w:rPr>
      <w:t>087</w:t>
    </w:r>
    <w:r>
      <w:rPr>
        <w:rFonts w:ascii="Arial" w:hAnsi="Arial"/>
        <w:sz w:val="20"/>
      </w:rPr>
      <w:tab/>
      <w:t>Dnr</w:t>
    </w:r>
    <w:r>
      <w:rPr>
        <w:rFonts w:ascii="Arial" w:hAnsi="Arial"/>
        <w:sz w:val="20"/>
      </w:rPr>
      <w:tab/>
      <w:t xml:space="preserve">          </w:t>
    </w:r>
  </w:p>
  <w:tbl>
    <w:tblPr>
      <w:tblStyle w:val="Enkeltabell1"/>
      <w:tblW w:w="0" w:type="auto"/>
      <w:tblLook w:val="04A0" w:firstRow="1" w:lastRow="0" w:firstColumn="1" w:lastColumn="0" w:noHBand="0" w:noVBand="1"/>
    </w:tblPr>
    <w:tblGrid>
      <w:gridCol w:w="5092"/>
      <w:gridCol w:w="2908"/>
      <w:gridCol w:w="1444"/>
    </w:tblGrid>
    <w:tr w:rsidR="00977982">
      <w:tc>
        <w:tcPr>
          <w:tcW w:w="5092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77982" w:rsidRDefault="008412B5">
          <w:pPr>
            <w:pStyle w:val="Sidhuvud"/>
            <w:widowControl w:val="0"/>
            <w:tabs>
              <w:tab w:val="left" w:pos="5103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Anneli Jyrkin</w:t>
          </w:r>
        </w:p>
        <w:p w:rsidR="00977982" w:rsidRDefault="008412B5">
          <w:pPr>
            <w:pStyle w:val="Sidhuvud"/>
            <w:widowControl w:val="0"/>
            <w:tabs>
              <w:tab w:val="left" w:pos="5103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036-10 50 70</w:t>
          </w:r>
        </w:p>
        <w:p w:rsidR="00977982" w:rsidRDefault="008412B5">
          <w:pPr>
            <w:pStyle w:val="Sidhuvud"/>
            <w:widowControl w:val="0"/>
            <w:tabs>
              <w:tab w:val="left" w:pos="5103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anneli.jyrkin@jonkoping.se</w:t>
          </w:r>
        </w:p>
      </w:tc>
      <w:tc>
        <w:tcPr>
          <w:tcW w:w="290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77982" w:rsidRDefault="008412B5">
          <w:pPr>
            <w:pStyle w:val="Sidhuvud"/>
            <w:widowControl w:val="0"/>
            <w:tabs>
              <w:tab w:val="left" w:pos="5103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20"/>
            </w:rPr>
            <w:t>2015-05-21</w:t>
          </w:r>
          <w:r>
            <w:rPr>
              <w:sz w:val="20"/>
            </w:rPr>
            <w:t xml:space="preserve"> </w:t>
          </w:r>
        </w:p>
      </w:tc>
      <w:tc>
        <w:tcPr>
          <w:tcW w:w="1444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77982" w:rsidRDefault="008412B5">
          <w:pPr>
            <w:pStyle w:val="Sidhuvud"/>
            <w:tabs>
              <w:tab w:val="left" w:pos="5103"/>
            </w:tabs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2015-1285</w:t>
          </w:r>
        </w:p>
      </w:tc>
    </w:tr>
  </w:tbl>
  <w:p w:rsidR="00977982" w:rsidRDefault="00977982">
    <w:pPr>
      <w:pStyle w:val="Sidhuvud"/>
      <w:widowControl w:val="0"/>
      <w:tabs>
        <w:tab w:val="left" w:pos="5103"/>
      </w:tabs>
      <w:rPr>
        <w:rFonts w:ascii="Arial" w:hAnsi="Arial"/>
        <w:sz w:val="18"/>
      </w:rPr>
    </w:pPr>
  </w:p>
  <w:p w:rsidR="00977982" w:rsidRDefault="00977982">
    <w:pPr>
      <w:pStyle w:val="Sidhuvud"/>
      <w:widowControl w:val="0"/>
      <w:tabs>
        <w:tab w:val="left" w:pos="5103"/>
      </w:tabs>
      <w:rPr>
        <w:rFonts w:ascii="Arial" w:hAnsi="Arial"/>
        <w:sz w:val="18"/>
      </w:rPr>
    </w:pPr>
  </w:p>
  <w:p w:rsidR="00977982" w:rsidRDefault="00977982">
    <w:pPr>
      <w:pStyle w:val="Sidhuvud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2D"/>
    <w:multiLevelType w:val="multilevel"/>
    <w:tmpl w:val="7DF6A2D6"/>
    <w:lvl w:ilvl="0">
      <w:start w:val="1"/>
      <w:numFmt w:val="bullet"/>
      <w:lvlText w:val="-"/>
      <w:lvlJc w:val="left"/>
      <w:pPr>
        <w:spacing w:after="0"/>
        <w:ind w:left="360" w:hanging="360"/>
      </w:pPr>
      <w:rPr>
        <w:rFonts w:ascii="Symbol" w:hAnsi="Symbol"/>
        <w:color w:val="000000"/>
        <w:sz w:val="22"/>
      </w:rPr>
    </w:lvl>
    <w:lvl w:ilvl="1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2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3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4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5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6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7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  <w:lvl w:ilvl="8">
      <w:start w:val="1"/>
      <w:numFmt w:val="decimal"/>
      <w:lvlText w:val="%1."/>
      <w:lvlJc w:val="left"/>
      <w:pPr>
        <w:spacing w:after="0"/>
      </w:pPr>
      <w:rPr>
        <w:rFonts w:ascii="CG Times (W1)" w:hAnsi="CG Times (W1)"/>
        <w:color w:val="000000"/>
      </w:rPr>
    </w:lvl>
  </w:abstractNum>
  <w:abstractNum w:abstractNumId="1">
    <w:nsid w:val="0CD61B1B"/>
    <w:multiLevelType w:val="hybridMultilevel"/>
    <w:tmpl w:val="7AE8ABFE"/>
    <w:lvl w:ilvl="0" w:tplc="92FAF1F6">
      <w:numFmt w:val="bullet"/>
      <w:lvlText w:val="-"/>
      <w:lvlJc w:val="left"/>
      <w:pPr>
        <w:spacing w:after="0"/>
        <w:ind w:left="2421" w:hanging="360"/>
      </w:pPr>
      <w:rPr>
        <w:rFonts w:ascii="CG Times (W1)" w:hAnsi="CG Times (W1)"/>
        <w:color w:val="000000"/>
      </w:rPr>
    </w:lvl>
    <w:lvl w:ilvl="1" w:tplc="041D0003">
      <w:start w:val="1"/>
      <w:numFmt w:val="bullet"/>
      <w:lvlText w:val="o"/>
      <w:lvlJc w:val="left"/>
      <w:pPr>
        <w:spacing w:after="0"/>
        <w:ind w:left="3141" w:hanging="360"/>
      </w:pPr>
      <w:rPr>
        <w:rFonts w:ascii="Courier New" w:hAnsi="Courier New"/>
        <w:color w:val="000000"/>
      </w:rPr>
    </w:lvl>
    <w:lvl w:ilvl="2" w:tplc="041D0003">
      <w:start w:val="1"/>
      <w:numFmt w:val="bullet"/>
      <w:lvlText w:val="§"/>
      <w:lvlJc w:val="left"/>
      <w:pPr>
        <w:spacing w:after="0"/>
        <w:ind w:left="3861" w:hanging="360"/>
      </w:pPr>
      <w:rPr>
        <w:rFonts w:ascii="Wingdings" w:hAnsi="Wingdings"/>
        <w:color w:val="000000"/>
      </w:rPr>
    </w:lvl>
    <w:lvl w:ilvl="3" w:tplc="041D0003">
      <w:start w:val="1"/>
      <w:numFmt w:val="bullet"/>
      <w:lvlText w:val="·"/>
      <w:lvlJc w:val="left"/>
      <w:pPr>
        <w:spacing w:after="0"/>
        <w:ind w:left="4581" w:hanging="360"/>
      </w:pPr>
      <w:rPr>
        <w:rFonts w:ascii="Symbol" w:hAnsi="Symbol"/>
        <w:color w:val="000000"/>
      </w:rPr>
    </w:lvl>
    <w:lvl w:ilvl="4" w:tplc="041D0003">
      <w:start w:val="1"/>
      <w:numFmt w:val="bullet"/>
      <w:lvlText w:val="o"/>
      <w:lvlJc w:val="left"/>
      <w:pPr>
        <w:spacing w:after="0"/>
        <w:ind w:left="5301" w:hanging="360"/>
      </w:pPr>
      <w:rPr>
        <w:rFonts w:ascii="Courier New" w:hAnsi="Courier New"/>
        <w:color w:val="000000"/>
      </w:rPr>
    </w:lvl>
    <w:lvl w:ilvl="5" w:tplc="041D0003">
      <w:start w:val="1"/>
      <w:numFmt w:val="bullet"/>
      <w:lvlText w:val="§"/>
      <w:lvlJc w:val="left"/>
      <w:pPr>
        <w:spacing w:after="0"/>
        <w:ind w:left="6021" w:hanging="360"/>
      </w:pPr>
      <w:rPr>
        <w:rFonts w:ascii="Wingdings" w:hAnsi="Wingdings"/>
        <w:color w:val="000000"/>
      </w:rPr>
    </w:lvl>
    <w:lvl w:ilvl="6" w:tplc="041D0003">
      <w:start w:val="1"/>
      <w:numFmt w:val="bullet"/>
      <w:lvlText w:val="·"/>
      <w:lvlJc w:val="left"/>
      <w:pPr>
        <w:spacing w:after="0"/>
        <w:ind w:left="6741" w:hanging="360"/>
      </w:pPr>
      <w:rPr>
        <w:rFonts w:ascii="Symbol" w:hAnsi="Symbol"/>
        <w:color w:val="000000"/>
      </w:rPr>
    </w:lvl>
    <w:lvl w:ilvl="7" w:tplc="041D0003">
      <w:start w:val="1"/>
      <w:numFmt w:val="bullet"/>
      <w:lvlText w:val="o"/>
      <w:lvlJc w:val="left"/>
      <w:pPr>
        <w:spacing w:after="0"/>
        <w:ind w:left="7461" w:hanging="360"/>
      </w:pPr>
      <w:rPr>
        <w:rFonts w:ascii="Courier New" w:hAnsi="Courier New"/>
        <w:color w:val="000000"/>
      </w:rPr>
    </w:lvl>
    <w:lvl w:ilvl="8" w:tplc="041D0003">
      <w:start w:val="1"/>
      <w:numFmt w:val="bullet"/>
      <w:lvlText w:val="§"/>
      <w:lvlJc w:val="left"/>
      <w:pPr>
        <w:spacing w:after="0"/>
        <w:ind w:left="8181" w:hanging="360"/>
      </w:pPr>
      <w:rPr>
        <w:rFonts w:ascii="Wingdings" w:hAnsi="Wingdings"/>
        <w:color w:val="000000"/>
      </w:rPr>
    </w:lvl>
  </w:abstractNum>
  <w:abstractNum w:abstractNumId="2">
    <w:nsid w:val="17AA07BC"/>
    <w:multiLevelType w:val="hybridMultilevel"/>
    <w:tmpl w:val="42E84F2C"/>
    <w:lvl w:ilvl="0" w:tplc="041D0003">
      <w:start w:val="1"/>
      <w:numFmt w:val="bullet"/>
      <w:lvlText w:val="-"/>
      <w:lvlJc w:val="left"/>
      <w:pPr>
        <w:spacing w:after="0"/>
        <w:ind w:left="2398" w:hanging="360"/>
      </w:pPr>
      <w:rPr>
        <w:rFonts w:ascii="Symbol" w:hAnsi="Symbol"/>
        <w:color w:val="000000"/>
      </w:rPr>
    </w:lvl>
    <w:lvl w:ilvl="1" w:tplc="041D0003">
      <w:start w:val="1"/>
      <w:numFmt w:val="bullet"/>
      <w:lvlText w:val="o"/>
      <w:lvlJc w:val="left"/>
      <w:pPr>
        <w:spacing w:after="0"/>
        <w:ind w:left="3118" w:hanging="360"/>
      </w:pPr>
      <w:rPr>
        <w:rFonts w:ascii="Courier New" w:hAnsi="Courier New"/>
        <w:color w:val="000000"/>
      </w:rPr>
    </w:lvl>
    <w:lvl w:ilvl="2" w:tplc="041D0003">
      <w:start w:val="1"/>
      <w:numFmt w:val="bullet"/>
      <w:lvlText w:val="§"/>
      <w:lvlJc w:val="left"/>
      <w:pPr>
        <w:spacing w:after="0"/>
        <w:ind w:left="3838" w:hanging="360"/>
      </w:pPr>
      <w:rPr>
        <w:rFonts w:ascii="Wingdings" w:hAnsi="Wingdings"/>
        <w:color w:val="000000"/>
      </w:rPr>
    </w:lvl>
    <w:lvl w:ilvl="3" w:tplc="041D0003">
      <w:start w:val="1"/>
      <w:numFmt w:val="bullet"/>
      <w:lvlText w:val="·"/>
      <w:lvlJc w:val="left"/>
      <w:pPr>
        <w:spacing w:after="0"/>
        <w:ind w:left="4558" w:hanging="360"/>
      </w:pPr>
      <w:rPr>
        <w:rFonts w:ascii="Symbol" w:hAnsi="Symbol"/>
        <w:color w:val="000000"/>
      </w:rPr>
    </w:lvl>
    <w:lvl w:ilvl="4" w:tplc="041D0003">
      <w:start w:val="1"/>
      <w:numFmt w:val="bullet"/>
      <w:lvlText w:val="o"/>
      <w:lvlJc w:val="left"/>
      <w:pPr>
        <w:spacing w:after="0"/>
        <w:ind w:left="5278" w:hanging="360"/>
      </w:pPr>
      <w:rPr>
        <w:rFonts w:ascii="Courier New" w:hAnsi="Courier New"/>
        <w:color w:val="000000"/>
      </w:rPr>
    </w:lvl>
    <w:lvl w:ilvl="5" w:tplc="041D0003">
      <w:start w:val="1"/>
      <w:numFmt w:val="bullet"/>
      <w:lvlText w:val="§"/>
      <w:lvlJc w:val="left"/>
      <w:pPr>
        <w:spacing w:after="0"/>
        <w:ind w:left="5998" w:hanging="360"/>
      </w:pPr>
      <w:rPr>
        <w:rFonts w:ascii="Wingdings" w:hAnsi="Wingdings"/>
        <w:color w:val="000000"/>
      </w:rPr>
    </w:lvl>
    <w:lvl w:ilvl="6" w:tplc="041D0003">
      <w:start w:val="1"/>
      <w:numFmt w:val="bullet"/>
      <w:lvlText w:val="·"/>
      <w:lvlJc w:val="left"/>
      <w:pPr>
        <w:spacing w:after="0"/>
        <w:ind w:left="6718" w:hanging="360"/>
      </w:pPr>
      <w:rPr>
        <w:rFonts w:ascii="Symbol" w:hAnsi="Symbol"/>
        <w:color w:val="000000"/>
      </w:rPr>
    </w:lvl>
    <w:lvl w:ilvl="7" w:tplc="041D0003">
      <w:start w:val="1"/>
      <w:numFmt w:val="bullet"/>
      <w:lvlText w:val="o"/>
      <w:lvlJc w:val="left"/>
      <w:pPr>
        <w:spacing w:after="0"/>
        <w:ind w:left="7438" w:hanging="360"/>
      </w:pPr>
      <w:rPr>
        <w:rFonts w:ascii="Courier New" w:hAnsi="Courier New"/>
        <w:color w:val="000000"/>
      </w:rPr>
    </w:lvl>
    <w:lvl w:ilvl="8" w:tplc="041D0003">
      <w:start w:val="1"/>
      <w:numFmt w:val="bullet"/>
      <w:lvlText w:val="§"/>
      <w:lvlJc w:val="left"/>
      <w:pPr>
        <w:spacing w:after="0"/>
        <w:ind w:left="8158" w:hanging="360"/>
      </w:pPr>
      <w:rPr>
        <w:rFonts w:ascii="Wingdings" w:hAnsi="Wingdings"/>
        <w:color w:val="000000"/>
      </w:rPr>
    </w:lvl>
  </w:abstractNum>
  <w:abstractNum w:abstractNumId="3">
    <w:nsid w:val="2B6B581B"/>
    <w:multiLevelType w:val="hybridMultilevel"/>
    <w:tmpl w:val="AC5603EC"/>
    <w:lvl w:ilvl="0" w:tplc="041D0001">
      <w:start w:val="1"/>
      <w:numFmt w:val="bullet"/>
      <w:lvlText w:val="·"/>
      <w:lvlJc w:val="left"/>
      <w:pPr>
        <w:spacing w:after="0"/>
        <w:ind w:left="2345" w:hanging="360"/>
      </w:pPr>
      <w:rPr>
        <w:rFonts w:ascii="Symbol" w:hAnsi="Symbol"/>
      </w:rPr>
    </w:lvl>
    <w:lvl w:ilvl="1" w:tplc="041D0003">
      <w:start w:val="1"/>
      <w:numFmt w:val="bullet"/>
      <w:lvlText w:val="o"/>
      <w:lvlJc w:val="left"/>
      <w:pPr>
        <w:spacing w:after="0"/>
        <w:ind w:left="3065" w:hanging="360"/>
      </w:pPr>
      <w:rPr>
        <w:rFonts w:ascii="Courier New" w:hAnsi="Courier New"/>
      </w:rPr>
    </w:lvl>
    <w:lvl w:ilvl="2" w:tplc="041D0005">
      <w:start w:val="1"/>
      <w:numFmt w:val="bullet"/>
      <w:lvlText w:val="§"/>
      <w:lvlJc w:val="left"/>
      <w:pPr>
        <w:spacing w:after="0"/>
        <w:ind w:left="3785" w:hanging="360"/>
      </w:pPr>
      <w:rPr>
        <w:rFonts w:ascii="Wingdings" w:hAnsi="Wingdings"/>
      </w:rPr>
    </w:lvl>
    <w:lvl w:ilvl="3" w:tplc="041D0001">
      <w:start w:val="1"/>
      <w:numFmt w:val="bullet"/>
      <w:lvlText w:val="·"/>
      <w:lvlJc w:val="left"/>
      <w:pPr>
        <w:spacing w:after="0"/>
        <w:ind w:left="4505" w:hanging="360"/>
      </w:pPr>
      <w:rPr>
        <w:rFonts w:ascii="Symbol" w:hAnsi="Symbol"/>
      </w:rPr>
    </w:lvl>
    <w:lvl w:ilvl="4" w:tplc="041D0003">
      <w:start w:val="1"/>
      <w:numFmt w:val="bullet"/>
      <w:lvlText w:val="o"/>
      <w:lvlJc w:val="left"/>
      <w:pPr>
        <w:spacing w:after="0"/>
        <w:ind w:left="5225" w:hanging="360"/>
      </w:pPr>
      <w:rPr>
        <w:rFonts w:ascii="Courier New" w:hAnsi="Courier New"/>
      </w:rPr>
    </w:lvl>
    <w:lvl w:ilvl="5" w:tplc="041D0005">
      <w:start w:val="1"/>
      <w:numFmt w:val="bullet"/>
      <w:lvlText w:val="§"/>
      <w:lvlJc w:val="left"/>
      <w:pPr>
        <w:spacing w:after="0"/>
        <w:ind w:left="5945" w:hanging="360"/>
      </w:pPr>
      <w:rPr>
        <w:rFonts w:ascii="Wingdings" w:hAnsi="Wingdings"/>
      </w:rPr>
    </w:lvl>
    <w:lvl w:ilvl="6" w:tplc="041D0001">
      <w:start w:val="1"/>
      <w:numFmt w:val="bullet"/>
      <w:lvlText w:val="·"/>
      <w:lvlJc w:val="left"/>
      <w:pPr>
        <w:spacing w:after="0"/>
        <w:ind w:left="6665" w:hanging="360"/>
      </w:pPr>
      <w:rPr>
        <w:rFonts w:ascii="Symbol" w:hAnsi="Symbol"/>
      </w:rPr>
    </w:lvl>
    <w:lvl w:ilvl="7" w:tplc="041D0003">
      <w:start w:val="1"/>
      <w:numFmt w:val="bullet"/>
      <w:lvlText w:val="o"/>
      <w:lvlJc w:val="left"/>
      <w:pPr>
        <w:spacing w:after="0"/>
        <w:ind w:left="7385" w:hanging="360"/>
      </w:pPr>
      <w:rPr>
        <w:rFonts w:ascii="Courier New" w:hAnsi="Courier New"/>
      </w:rPr>
    </w:lvl>
    <w:lvl w:ilvl="8" w:tplc="041D0005">
      <w:start w:val="1"/>
      <w:numFmt w:val="bullet"/>
      <w:lvlText w:val="§"/>
      <w:lvlJc w:val="left"/>
      <w:pPr>
        <w:spacing w:after="0"/>
        <w:ind w:left="8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82"/>
    <w:rsid w:val="008412B5"/>
    <w:rsid w:val="00977982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color w:val="000000"/>
        <w:sz w:val="24"/>
        <w:lang w:val="sv-SE" w:eastAsia="sv-SE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pPr>
      <w:ind w:left="2552" w:right="284"/>
      <w:outlineLvl w:val="0"/>
    </w:pPr>
    <w:rPr>
      <w:b/>
    </w:rPr>
  </w:style>
  <w:style w:type="paragraph" w:styleId="Rubrik3">
    <w:name w:val="heading 3"/>
    <w:basedOn w:val="Normal"/>
    <w:next w:val="Normal"/>
    <w:link w:val="Rubrik3Char"/>
    <w:pPr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">
    <w:name w:val="Löptext"/>
    <w:basedOn w:val="Normal"/>
    <w:pPr>
      <w:spacing w:after="240"/>
    </w:pPr>
  </w:style>
  <w:style w:type="paragraph" w:customStyle="1" w:styleId="Default">
    <w:name w:val="Default"/>
    <w:basedOn w:val="Normal"/>
  </w:style>
  <w:style w:type="paragraph" w:styleId="Sidfot">
    <w:name w:val="footer"/>
    <w:basedOn w:val="Normal"/>
    <w:link w:val="SidfotChar"/>
  </w:style>
  <w:style w:type="paragraph" w:styleId="Sidhuvud">
    <w:name w:val="header"/>
    <w:basedOn w:val="Normal"/>
    <w:link w:val="SidhuvudChar"/>
  </w:style>
  <w:style w:type="paragraph" w:styleId="Brdtextmedindrag">
    <w:name w:val="Body Text Indent"/>
    <w:basedOn w:val="Normal"/>
    <w:link w:val="BrdtextmedindragChar"/>
    <w:pPr>
      <w:ind w:left="2552"/>
    </w:pPr>
    <w:rPr>
      <w:color w:val="FF0000"/>
    </w:rPr>
  </w:style>
  <w:style w:type="paragraph" w:styleId="Brdtextmedindrag2">
    <w:name w:val="Body Text Indent 2"/>
    <w:basedOn w:val="Normal"/>
    <w:link w:val="Brdtextmedindrag2Char"/>
    <w:pPr>
      <w:ind w:left="2552" w:firstLine="4"/>
    </w:pPr>
  </w:style>
  <w:style w:type="paragraph" w:customStyle="1" w:styleId="Strecklista">
    <w:name w:val="Strecklista"/>
    <w:basedOn w:val="Normal"/>
  </w:style>
  <w:style w:type="paragraph" w:customStyle="1" w:styleId="NormalUtanLuftEfter">
    <w:name w:val="NormalUtanLuftEfter"/>
    <w:basedOn w:val="Normal"/>
  </w:style>
  <w:style w:type="paragraph" w:customStyle="1" w:styleId="Huvudsatser">
    <w:name w:val="Huvudsatser"/>
    <w:basedOn w:val="Normal"/>
    <w:link w:val="HuvudsatserChar"/>
    <w:pPr>
      <w:spacing w:after="60"/>
    </w:pPr>
  </w:style>
  <w:style w:type="paragraph" w:styleId="Ballongtext">
    <w:name w:val="Balloon Text"/>
    <w:basedOn w:val="Normal"/>
    <w:link w:val="BallongtextChar"/>
    <w:rPr>
      <w:rFonts w:ascii="Tahoma" w:hAnsi="Tahoma"/>
      <w:sz w:val="16"/>
    </w:rPr>
  </w:style>
  <w:style w:type="paragraph" w:styleId="Brdtext">
    <w:name w:val="Body Text"/>
    <w:basedOn w:val="Normal"/>
    <w:pPr>
      <w:spacing w:after="120"/>
    </w:pPr>
  </w:style>
  <w:style w:type="character" w:styleId="Radnummer">
    <w:name w:val="line number"/>
    <w:basedOn w:val="Standardstycketeckensnitt"/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Pr>
      <w:b/>
    </w:rPr>
  </w:style>
  <w:style w:type="character" w:customStyle="1" w:styleId="Rubrik3Char">
    <w:name w:val="Rubrik 3 Char"/>
    <w:basedOn w:val="Standardstycketeckensnitt"/>
    <w:link w:val="Rubrik3"/>
    <w:rPr>
      <w:b/>
    </w:rPr>
  </w:style>
  <w:style w:type="character" w:customStyle="1" w:styleId="SidfotChar">
    <w:name w:val="Sidfot Char"/>
    <w:basedOn w:val="Standardstycketeckensnitt"/>
    <w:link w:val="Sidfot"/>
  </w:style>
  <w:style w:type="character" w:customStyle="1" w:styleId="SidhuvudChar">
    <w:name w:val="Sidhuvud Char"/>
    <w:basedOn w:val="Standardstycketeckensnitt"/>
    <w:link w:val="Sidhuvud"/>
  </w:style>
  <w:style w:type="character" w:customStyle="1" w:styleId="BrdtextmedindragChar">
    <w:name w:val="Brödtext med indrag Char"/>
    <w:basedOn w:val="Standardstycketeckensnitt"/>
    <w:link w:val="Brdtextmedindrag"/>
    <w:rPr>
      <w:color w:val="FF0000"/>
    </w:rPr>
  </w:style>
  <w:style w:type="character" w:customStyle="1" w:styleId="Brdtextmedindrag2Char">
    <w:name w:val="Brödtext med indrag 2 Char"/>
    <w:basedOn w:val="Standardstycketeckensnitt"/>
    <w:link w:val="Brdtextmedindrag2"/>
  </w:style>
  <w:style w:type="character" w:customStyle="1" w:styleId="HuvudsatserChar">
    <w:name w:val="Huvudsatser Char"/>
    <w:link w:val="Huvudsatser"/>
  </w:style>
  <w:style w:type="character" w:customStyle="1" w:styleId="BallongtextChar">
    <w:name w:val="Ballongtext Char"/>
    <w:basedOn w:val="Standardstycketeckensnitt"/>
    <w:link w:val="Ballongtext"/>
    <w:rPr>
      <w:rFonts w:ascii="Tahoma" w:hAnsi="Tahoma"/>
      <w:sz w:val="16"/>
    </w:rPr>
  </w:style>
  <w:style w:type="table" w:styleId="Enkeltabell1">
    <w:name w:val="Table Simple 1"/>
    <w:basedOn w:val="Normaltabel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  <w:style w:type="table" w:styleId="Tabellrutnt">
    <w:name w:val="Table Grid"/>
    <w:basedOn w:val="Normaltabell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3D8735B1</Template>
  <TotalTime>6</TotalTime>
  <Pages>3</Pages>
  <Words>643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Anneli Jyrkin</cp:lastModifiedBy>
  <cp:revision>3</cp:revision>
  <cp:lastPrinted>2015-05-21T11:34:00Z</cp:lastPrinted>
  <dcterms:created xsi:type="dcterms:W3CDTF">2015-05-21T11:31:00Z</dcterms:created>
  <dcterms:modified xsi:type="dcterms:W3CDTF">2015-05-21T11:37:00Z</dcterms:modified>
</cp:coreProperties>
</file>